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F7" w:rsidRDefault="001F391A">
      <w:pPr>
        <w:rPr>
          <w:rFonts w:hint="cs"/>
          <w:b/>
          <w:bCs/>
          <w:sz w:val="28"/>
          <w:szCs w:val="28"/>
          <w:rtl/>
        </w:rPr>
      </w:pPr>
      <w:r w:rsidRPr="001F391A">
        <w:rPr>
          <w:rFonts w:hint="cs"/>
          <w:b/>
          <w:bCs/>
          <w:sz w:val="28"/>
          <w:szCs w:val="28"/>
          <w:rtl/>
        </w:rPr>
        <w:t>בבית הדין לערעורים</w:t>
      </w:r>
    </w:p>
    <w:p w:rsidR="001F391A" w:rsidRDefault="001F391A">
      <w:pPr>
        <w:rPr>
          <w:rFonts w:hint="cs"/>
          <w:b/>
          <w:bCs/>
          <w:sz w:val="28"/>
          <w:szCs w:val="28"/>
          <w:rtl/>
        </w:rPr>
      </w:pPr>
    </w:p>
    <w:p w:rsidR="001F391A" w:rsidRDefault="001F391A">
      <w:pPr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Pr="001F391A">
        <w:rPr>
          <w:rFonts w:hint="cs"/>
          <w:sz w:val="28"/>
          <w:szCs w:val="28"/>
          <w:rtl/>
        </w:rPr>
        <w:t>בעניין</w:t>
      </w:r>
      <w:r>
        <w:rPr>
          <w:rFonts w:hint="cs"/>
          <w:sz w:val="28"/>
          <w:szCs w:val="28"/>
          <w:rtl/>
        </w:rPr>
        <w:t xml:space="preserve">:           </w:t>
      </w:r>
      <w:r w:rsidRPr="005570C4">
        <w:rPr>
          <w:rFonts w:hint="cs"/>
          <w:b/>
          <w:bCs/>
          <w:sz w:val="28"/>
          <w:szCs w:val="28"/>
          <w:rtl/>
        </w:rPr>
        <w:t xml:space="preserve">רפ"ק ( </w:t>
      </w:r>
      <w:proofErr w:type="spellStart"/>
      <w:r w:rsidRPr="005570C4">
        <w:rPr>
          <w:rFonts w:hint="cs"/>
          <w:b/>
          <w:bCs/>
          <w:sz w:val="28"/>
          <w:szCs w:val="28"/>
          <w:rtl/>
        </w:rPr>
        <w:t>בגימ</w:t>
      </w:r>
      <w:proofErr w:type="spellEnd"/>
      <w:r w:rsidRPr="005570C4">
        <w:rPr>
          <w:rFonts w:hint="cs"/>
          <w:b/>
          <w:bCs/>
          <w:sz w:val="28"/>
          <w:szCs w:val="28"/>
          <w:rtl/>
        </w:rPr>
        <w:t>.) אסף יונה</w:t>
      </w:r>
    </w:p>
    <w:p w:rsidR="001F391A" w:rsidRDefault="001F391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על ידי עורכי הדיין ד"ר חיים משגב וסיימון </w:t>
      </w:r>
      <w:proofErr w:type="spellStart"/>
      <w:r>
        <w:rPr>
          <w:rFonts w:hint="cs"/>
          <w:sz w:val="28"/>
          <w:szCs w:val="28"/>
          <w:rtl/>
        </w:rPr>
        <w:t>ברטין</w:t>
      </w:r>
      <w:proofErr w:type="spellEnd"/>
    </w:p>
    <w:p w:rsidR="001F391A" w:rsidRDefault="001F391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מרחוב פנקס 24, תל אביב\ טל. נייד: 0505-200163;</w:t>
      </w:r>
    </w:p>
    <w:p w:rsidR="001F391A" w:rsidRDefault="001F391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פקס' מס' 1533-5465230</w:t>
      </w:r>
    </w:p>
    <w:p w:rsidR="001F391A" w:rsidRDefault="001F391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המערער</w:t>
      </w:r>
    </w:p>
    <w:p w:rsidR="001F391A" w:rsidRDefault="001F391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נגד</w:t>
      </w:r>
    </w:p>
    <w:p w:rsidR="001F391A" w:rsidRDefault="001F391A">
      <w:pPr>
        <w:rPr>
          <w:rFonts w:hint="cs"/>
          <w:sz w:val="28"/>
          <w:szCs w:val="28"/>
          <w:rtl/>
        </w:rPr>
      </w:pPr>
    </w:p>
    <w:p w:rsidR="001F391A" w:rsidRPr="005570C4" w:rsidRDefault="001F391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</w:t>
      </w:r>
      <w:r w:rsidRPr="005570C4">
        <w:rPr>
          <w:rFonts w:hint="cs"/>
          <w:b/>
          <w:bCs/>
          <w:sz w:val="28"/>
          <w:szCs w:val="28"/>
          <w:rtl/>
        </w:rPr>
        <w:t>משטרת ישראל</w:t>
      </w:r>
    </w:p>
    <w:p w:rsidR="001F391A" w:rsidRDefault="001F391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המשיבה</w:t>
      </w:r>
    </w:p>
    <w:p w:rsidR="001F391A" w:rsidRDefault="001F391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</w:t>
      </w:r>
    </w:p>
    <w:p w:rsidR="001F391A" w:rsidRPr="001F391A" w:rsidRDefault="001F391A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sz w:val="28"/>
          <w:szCs w:val="28"/>
          <w:rtl/>
        </w:rPr>
        <w:t xml:space="preserve">                      </w:t>
      </w:r>
      <w:r w:rsidR="00B54456">
        <w:rPr>
          <w:rFonts w:hint="cs"/>
          <w:sz w:val="28"/>
          <w:szCs w:val="28"/>
          <w:rtl/>
        </w:rPr>
        <w:t xml:space="preserve">            </w:t>
      </w:r>
      <w:r>
        <w:rPr>
          <w:rFonts w:hint="cs"/>
          <w:sz w:val="28"/>
          <w:szCs w:val="28"/>
          <w:rtl/>
        </w:rPr>
        <w:t xml:space="preserve"> </w:t>
      </w:r>
      <w:r w:rsidRPr="001F391A">
        <w:rPr>
          <w:rFonts w:hint="cs"/>
          <w:b/>
          <w:bCs/>
          <w:sz w:val="40"/>
          <w:szCs w:val="40"/>
          <w:rtl/>
        </w:rPr>
        <w:t>הודעת     ערעור</w:t>
      </w:r>
    </w:p>
    <w:p w:rsidR="001F391A" w:rsidRPr="001F391A" w:rsidRDefault="001F391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מוגש בזה ערעור על חומרת עונשו של המערער כפי שעולה  מגזר הדין שניתן  בתיק </w:t>
      </w:r>
      <w:proofErr w:type="spellStart"/>
      <w:r>
        <w:rPr>
          <w:rFonts w:hint="cs"/>
          <w:sz w:val="28"/>
          <w:szCs w:val="28"/>
          <w:rtl/>
        </w:rPr>
        <w:t>ביד"מ</w:t>
      </w:r>
      <w:proofErr w:type="spellEnd"/>
      <w:r>
        <w:rPr>
          <w:rFonts w:hint="cs"/>
          <w:sz w:val="28"/>
          <w:szCs w:val="28"/>
          <w:rtl/>
        </w:rPr>
        <w:t xml:space="preserve">  21/16, לפיו נדון להורדה בדרגה למשך שנה אחת בנוסף לנזיפה חמורה.</w:t>
      </w:r>
    </w:p>
    <w:p w:rsidR="001F391A" w:rsidRDefault="001F391A">
      <w:pPr>
        <w:rPr>
          <w:rFonts w:hint="cs"/>
          <w:b/>
          <w:bCs/>
          <w:sz w:val="28"/>
          <w:szCs w:val="28"/>
          <w:rtl/>
        </w:rPr>
      </w:pPr>
    </w:p>
    <w:p w:rsidR="001F391A" w:rsidRDefault="001F391A">
      <w:pPr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להלן נימוקי הערעור:</w:t>
      </w:r>
    </w:p>
    <w:p w:rsidR="001F391A" w:rsidRDefault="001F391A" w:rsidP="00BE0680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1F391A">
        <w:rPr>
          <w:rFonts w:hint="cs"/>
          <w:sz w:val="28"/>
          <w:szCs w:val="28"/>
          <w:rtl/>
        </w:rPr>
        <w:t xml:space="preserve"> בית דין קמא חטא כלפי המערער  </w:t>
      </w:r>
      <w:r>
        <w:rPr>
          <w:rFonts w:hint="cs"/>
          <w:sz w:val="28"/>
          <w:szCs w:val="28"/>
          <w:rtl/>
        </w:rPr>
        <w:t>בכך שהתייחס אליו כאל עבריין מן השורה, מי שמבקש לסייע לעבריינים בדרך של חשיפת מידע.</w:t>
      </w:r>
    </w:p>
    <w:p w:rsidR="00B54456" w:rsidRPr="00BE0680" w:rsidRDefault="00B54456" w:rsidP="00B54456">
      <w:pPr>
        <w:pStyle w:val="a3"/>
        <w:rPr>
          <w:rFonts w:hint="cs"/>
          <w:sz w:val="28"/>
          <w:szCs w:val="28"/>
        </w:rPr>
      </w:pPr>
    </w:p>
    <w:p w:rsidR="00DA61DF" w:rsidRDefault="00DA61DF" w:rsidP="00BE0680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אין רחוק יותר מן האמת בפרשה דנא  - וחבל שבית הדין </w:t>
      </w:r>
      <w:proofErr w:type="spellStart"/>
      <w:r>
        <w:rPr>
          <w:rFonts w:hint="cs"/>
          <w:sz w:val="28"/>
          <w:szCs w:val="28"/>
          <w:rtl/>
        </w:rPr>
        <w:t>דלמטא</w:t>
      </w:r>
      <w:proofErr w:type="spellEnd"/>
      <w:r>
        <w:rPr>
          <w:rFonts w:hint="cs"/>
          <w:sz w:val="28"/>
          <w:szCs w:val="28"/>
          <w:rtl/>
        </w:rPr>
        <w:t xml:space="preserve"> סטה מהסדר הטיעון שנעשה בין הצדדים; וכבר נאמר לא אחת בידי בית המשפט העליון שהסדרי טיעון יש לכבד</w:t>
      </w:r>
      <w:r w:rsidR="00BE0680">
        <w:rPr>
          <w:rFonts w:hint="cs"/>
          <w:sz w:val="28"/>
          <w:szCs w:val="28"/>
          <w:rtl/>
        </w:rPr>
        <w:t>; אלא אם כן, מתגלות נסיבות חריגות במיוחד, מה שאין לומר על הפרשה דנא.</w:t>
      </w:r>
    </w:p>
    <w:p w:rsidR="00B54456" w:rsidRPr="00BE0680" w:rsidRDefault="00B54456" w:rsidP="00B54456">
      <w:pPr>
        <w:pStyle w:val="a3"/>
        <w:rPr>
          <w:rFonts w:hint="cs"/>
          <w:sz w:val="28"/>
          <w:szCs w:val="28"/>
          <w:rtl/>
        </w:rPr>
      </w:pPr>
    </w:p>
    <w:p w:rsidR="00DA61DF" w:rsidRDefault="00DA61DF" w:rsidP="001F391A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תחילת הסגה המשפטית בהסדר טיעון שנעשה עם מח"ש, לפיו יועבר הטיפול בפרשה לאפיק משמעתי.</w:t>
      </w:r>
    </w:p>
    <w:p w:rsidR="00DA61DF" w:rsidRDefault="00DA61DF" w:rsidP="00BE0680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המערער הסכ</w:t>
      </w:r>
      <w:r w:rsidR="00BE0680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ם להודות בעובדות ש</w:t>
      </w:r>
      <w:r w:rsidR="00BE0680">
        <w:rPr>
          <w:rFonts w:hint="cs"/>
          <w:sz w:val="28"/>
          <w:szCs w:val="28"/>
          <w:rtl/>
        </w:rPr>
        <w:t>בהן הוא הודה</w:t>
      </w:r>
      <w:r>
        <w:rPr>
          <w:rFonts w:hint="cs"/>
          <w:sz w:val="28"/>
          <w:szCs w:val="28"/>
          <w:rtl/>
        </w:rPr>
        <w:t xml:space="preserve"> בהודעה שהוא מסר במהלך החקירות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ולא מעבר לכך.</w:t>
      </w:r>
    </w:p>
    <w:p w:rsidR="00B54456" w:rsidRDefault="00B54456" w:rsidP="00B54456">
      <w:pPr>
        <w:pStyle w:val="a3"/>
        <w:rPr>
          <w:rFonts w:hint="cs"/>
          <w:sz w:val="28"/>
          <w:szCs w:val="28"/>
        </w:rPr>
      </w:pPr>
    </w:p>
    <w:p w:rsidR="00DA61DF" w:rsidRDefault="00DA61DF" w:rsidP="001F391A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דא </w:t>
      </w:r>
      <w:proofErr w:type="spellStart"/>
      <w:r>
        <w:rPr>
          <w:rFonts w:hint="cs"/>
          <w:sz w:val="28"/>
          <w:szCs w:val="28"/>
          <w:rtl/>
        </w:rPr>
        <w:t>עקא</w:t>
      </w:r>
      <w:proofErr w:type="spellEnd"/>
      <w:r>
        <w:rPr>
          <w:rFonts w:hint="cs"/>
          <w:sz w:val="28"/>
          <w:szCs w:val="28"/>
          <w:rtl/>
        </w:rPr>
        <w:t>, משהגיעו באי כוחו של המערער לדיון בפני בית הדין המשמעתי, התברר להם שכתב האישום חורג בהרבה ממה שסוכם עם מח"ש.</w:t>
      </w:r>
    </w:p>
    <w:p w:rsidR="00B54456" w:rsidRPr="00B54456" w:rsidRDefault="00B54456" w:rsidP="00B54456">
      <w:pPr>
        <w:pStyle w:val="a3"/>
        <w:rPr>
          <w:rFonts w:hint="cs"/>
          <w:sz w:val="28"/>
          <w:szCs w:val="28"/>
          <w:rtl/>
        </w:rPr>
      </w:pPr>
    </w:p>
    <w:p w:rsidR="001F391A" w:rsidRDefault="00DA61DF" w:rsidP="00DA61DF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המערער פנה אך ורק לפקודו-לשעבר  - ולא לאף אחד אחר</w:t>
      </w:r>
      <w:r w:rsidR="00BE0680">
        <w:rPr>
          <w:rFonts w:hint="cs"/>
          <w:sz w:val="28"/>
          <w:szCs w:val="28"/>
          <w:rtl/>
        </w:rPr>
        <w:t>!</w:t>
      </w:r>
      <w:r>
        <w:rPr>
          <w:rFonts w:hint="cs"/>
          <w:sz w:val="28"/>
          <w:szCs w:val="28"/>
          <w:rtl/>
        </w:rPr>
        <w:t xml:space="preserve"> -  כדי לברר </w:t>
      </w:r>
      <w:r w:rsidR="001F391A">
        <w:rPr>
          <w:rFonts w:hint="cs"/>
          <w:sz w:val="28"/>
          <w:szCs w:val="28"/>
          <w:rtl/>
        </w:rPr>
        <w:t xml:space="preserve"> </w:t>
      </w:r>
      <w:r w:rsidR="001F391A" w:rsidRPr="001F391A">
        <w:rPr>
          <w:rFonts w:hint="cs"/>
          <w:sz w:val="28"/>
          <w:szCs w:val="28"/>
          <w:rtl/>
        </w:rPr>
        <w:t xml:space="preserve">        </w:t>
      </w:r>
    </w:p>
    <w:p w:rsidR="00DA61DF" w:rsidRDefault="00DA61DF" w:rsidP="00DA61DF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מדוע אחיו, עובד בכיר במשרד הפנים</w:t>
      </w:r>
      <w:r w:rsidR="00B54456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נגרע מרשימת המתנדבים לסייע בידי מג"ב דרום.</w:t>
      </w:r>
    </w:p>
    <w:p w:rsidR="00DA61DF" w:rsidRDefault="00DA61DF" w:rsidP="00DA61DF">
      <w:pPr>
        <w:pStyle w:val="a3"/>
        <w:ind w:left="227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</w:p>
    <w:p w:rsidR="00DA61DF" w:rsidRDefault="00DA61DF" w:rsidP="00BE0680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המערער לא ביקש לברר דבר אודות בני משחפה אחרים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וכל מה שעשה בעניין זה </w:t>
      </w:r>
      <w:r w:rsidR="00BE0680">
        <w:rPr>
          <w:rFonts w:hint="cs"/>
          <w:sz w:val="28"/>
          <w:szCs w:val="28"/>
          <w:rtl/>
        </w:rPr>
        <w:t xml:space="preserve"> </w:t>
      </w:r>
      <w:proofErr w:type="spellStart"/>
      <w:r w:rsidR="00BE0680">
        <w:rPr>
          <w:rFonts w:hint="cs"/>
          <w:sz w:val="28"/>
          <w:szCs w:val="28"/>
          <w:rtl/>
        </w:rPr>
        <w:t>פקודו</w:t>
      </w:r>
      <w:proofErr w:type="spellEnd"/>
      <w:r>
        <w:rPr>
          <w:rFonts w:hint="cs"/>
          <w:sz w:val="28"/>
          <w:szCs w:val="28"/>
          <w:rtl/>
        </w:rPr>
        <w:t>-לשעבר של המערער נעשה על דעת עצמו בלבד.</w:t>
      </w:r>
    </w:p>
    <w:p w:rsidR="00B54456" w:rsidRPr="00BE0680" w:rsidRDefault="00B54456" w:rsidP="00B54456">
      <w:pPr>
        <w:pStyle w:val="a3"/>
        <w:rPr>
          <w:rFonts w:hint="cs"/>
          <w:sz w:val="28"/>
          <w:szCs w:val="28"/>
        </w:rPr>
      </w:pPr>
    </w:p>
    <w:p w:rsidR="00DA61DF" w:rsidRDefault="00DA61DF" w:rsidP="00B5445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המערער חטא ב</w:t>
      </w:r>
      <w:r w:rsidR="00B54456">
        <w:rPr>
          <w:rFonts w:hint="cs"/>
          <w:sz w:val="28"/>
          <w:szCs w:val="28"/>
          <w:rtl/>
        </w:rPr>
        <w:t>עצם הפנייה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אולם יש לזכור בעניין זה  שלפקודו-לשעבר של המע</w:t>
      </w:r>
      <w:r w:rsidR="00B54456">
        <w:rPr>
          <w:rFonts w:hint="cs"/>
          <w:sz w:val="28"/>
          <w:szCs w:val="28"/>
          <w:rtl/>
        </w:rPr>
        <w:t>רער לא הייתה כל סמכות להיכנס לתוך</w:t>
      </w:r>
      <w:r>
        <w:rPr>
          <w:rFonts w:hint="cs"/>
          <w:sz w:val="28"/>
          <w:szCs w:val="28"/>
          <w:rtl/>
        </w:rPr>
        <w:t xml:space="preserve"> הידיעות עצמן; כל מה שהיה בסמכותו לעשות הוא לבדוק אם קיימת "ידיעה" לגבי אחיו של המערער.</w:t>
      </w:r>
    </w:p>
    <w:p w:rsidR="00B54456" w:rsidRPr="00B54456" w:rsidRDefault="00B54456" w:rsidP="00B54456">
      <w:pPr>
        <w:pStyle w:val="a3"/>
        <w:rPr>
          <w:rFonts w:hint="cs"/>
          <w:sz w:val="28"/>
          <w:szCs w:val="28"/>
          <w:rtl/>
        </w:rPr>
      </w:pPr>
    </w:p>
    <w:p w:rsidR="00B54456" w:rsidRDefault="00B54456" w:rsidP="00B5445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המערער עשה מעשה שאסור היה לו לעשות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אבל מכאן ועד לביטויים הקשים ש</w:t>
      </w:r>
      <w:r w:rsidR="00BE0680">
        <w:rPr>
          <w:rFonts w:hint="cs"/>
          <w:sz w:val="28"/>
          <w:szCs w:val="28"/>
          <w:rtl/>
        </w:rPr>
        <w:t xml:space="preserve">בהם בחר </w:t>
      </w:r>
      <w:r>
        <w:rPr>
          <w:rFonts w:hint="cs"/>
          <w:sz w:val="28"/>
          <w:szCs w:val="28"/>
          <w:rtl/>
        </w:rPr>
        <w:t xml:space="preserve">בית הדין </w:t>
      </w:r>
      <w:proofErr w:type="spellStart"/>
      <w:r>
        <w:rPr>
          <w:rFonts w:hint="cs"/>
          <w:sz w:val="28"/>
          <w:szCs w:val="28"/>
          <w:rtl/>
        </w:rPr>
        <w:t>דלמטא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BE0680">
        <w:rPr>
          <w:rFonts w:hint="cs"/>
          <w:sz w:val="28"/>
          <w:szCs w:val="28"/>
          <w:rtl/>
        </w:rPr>
        <w:t>ל</w:t>
      </w:r>
      <w:r>
        <w:rPr>
          <w:rFonts w:hint="cs"/>
          <w:sz w:val="28"/>
          <w:szCs w:val="28"/>
          <w:rtl/>
        </w:rPr>
        <w:t>השתמש בהם רחוקה מאוד הדרך.</w:t>
      </w:r>
    </w:p>
    <w:p w:rsidR="00B54456" w:rsidRPr="00B54456" w:rsidRDefault="00B54456" w:rsidP="00B54456">
      <w:pPr>
        <w:pStyle w:val="a3"/>
        <w:rPr>
          <w:rFonts w:hint="cs"/>
          <w:sz w:val="28"/>
          <w:szCs w:val="28"/>
          <w:rtl/>
        </w:rPr>
      </w:pPr>
    </w:p>
    <w:p w:rsidR="00B54456" w:rsidRDefault="00BE0680" w:rsidP="00B54456">
      <w:pPr>
        <w:pStyle w:val="a3"/>
        <w:numPr>
          <w:ilvl w:val="0"/>
          <w:numId w:val="1"/>
        </w:numPr>
        <w:ind w:left="624" w:right="-17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ב"כ </w:t>
      </w:r>
      <w:r w:rsidR="00B54456">
        <w:rPr>
          <w:rFonts w:hint="cs"/>
          <w:sz w:val="28"/>
          <w:szCs w:val="28"/>
          <w:rtl/>
        </w:rPr>
        <w:t>התביעה הבינה את העניין,  ובשלב שלפני תחילת הדיון היא הציעה לדחות אותו  - ולפנות למח"ש כדי לברר את פשר כתב האישום החורג במידה ניכרת ממה שהוסכם עליו.</w:t>
      </w:r>
    </w:p>
    <w:p w:rsidR="00B54456" w:rsidRPr="00B54456" w:rsidRDefault="00B54456" w:rsidP="00B54456">
      <w:pPr>
        <w:pStyle w:val="a3"/>
        <w:rPr>
          <w:rFonts w:hint="cs"/>
          <w:sz w:val="28"/>
          <w:szCs w:val="28"/>
          <w:rtl/>
        </w:rPr>
      </w:pPr>
    </w:p>
    <w:p w:rsidR="00B54456" w:rsidRDefault="00BE0680" w:rsidP="00BE0680">
      <w:pPr>
        <w:pStyle w:val="a3"/>
        <w:numPr>
          <w:ilvl w:val="0"/>
          <w:numId w:val="1"/>
        </w:numPr>
        <w:ind w:left="624" w:right="-17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עם זאת</w:t>
      </w:r>
      <w:r w:rsidR="00B54456">
        <w:rPr>
          <w:rFonts w:hint="cs"/>
          <w:sz w:val="28"/>
          <w:szCs w:val="28"/>
          <w:rtl/>
        </w:rPr>
        <w:t xml:space="preserve">, משהודיעה </w:t>
      </w:r>
      <w:r>
        <w:rPr>
          <w:rFonts w:hint="cs"/>
          <w:sz w:val="28"/>
          <w:szCs w:val="28"/>
          <w:rtl/>
        </w:rPr>
        <w:t xml:space="preserve">ב"כ התביעה, לאחר התייעצות,  </w:t>
      </w:r>
      <w:r w:rsidR="00B54456">
        <w:rPr>
          <w:rFonts w:hint="cs"/>
          <w:sz w:val="28"/>
          <w:szCs w:val="28"/>
          <w:rtl/>
        </w:rPr>
        <w:t>לבאי כוח המערער,</w:t>
      </w:r>
      <w:r w:rsidR="001A32BF">
        <w:rPr>
          <w:rFonts w:hint="cs"/>
          <w:sz w:val="28"/>
          <w:szCs w:val="28"/>
          <w:rtl/>
        </w:rPr>
        <w:t xml:space="preserve"> </w:t>
      </w:r>
      <w:r w:rsidR="00B54456">
        <w:rPr>
          <w:rFonts w:hint="cs"/>
          <w:sz w:val="28"/>
          <w:szCs w:val="28"/>
          <w:rtl/>
        </w:rPr>
        <w:t xml:space="preserve">עוה"ד משגב </w:t>
      </w:r>
      <w:proofErr w:type="spellStart"/>
      <w:r w:rsidR="00B54456">
        <w:rPr>
          <w:rFonts w:hint="cs"/>
          <w:sz w:val="28"/>
          <w:szCs w:val="28"/>
          <w:rtl/>
        </w:rPr>
        <w:t>וברטין</w:t>
      </w:r>
      <w:proofErr w:type="spellEnd"/>
      <w:r w:rsidR="00B54456">
        <w:rPr>
          <w:rFonts w:hint="cs"/>
          <w:sz w:val="28"/>
          <w:szCs w:val="28"/>
          <w:rtl/>
        </w:rPr>
        <w:t xml:space="preserve">,  שהיא תסתפק בעונש של נזיפה וקנס שלא יפחת משלושת אלפים ₪, הרגיש המערער שאין הוא יכול לשאת עוד במצוקה הנפשית שרודפת אותו מזה למעלה משנתיים </w:t>
      </w:r>
      <w:r w:rsidR="00B54456">
        <w:rPr>
          <w:sz w:val="28"/>
          <w:szCs w:val="28"/>
          <w:rtl/>
        </w:rPr>
        <w:t>–</w:t>
      </w:r>
      <w:r w:rsidR="00B54456">
        <w:rPr>
          <w:rFonts w:hint="cs"/>
          <w:sz w:val="28"/>
          <w:szCs w:val="28"/>
          <w:rtl/>
        </w:rPr>
        <w:t xml:space="preserve"> והוא הסכים להסדר הטיעון. הודאה </w:t>
      </w:r>
      <w:r>
        <w:rPr>
          <w:rFonts w:hint="cs"/>
          <w:sz w:val="28"/>
          <w:szCs w:val="28"/>
          <w:rtl/>
        </w:rPr>
        <w:t xml:space="preserve">בכתב אישום שכלל עובדות שהוא לא הודה בהן במהלך החקירה </w:t>
      </w:r>
      <w:r w:rsidR="00B54456">
        <w:rPr>
          <w:sz w:val="28"/>
          <w:szCs w:val="28"/>
          <w:rtl/>
        </w:rPr>
        <w:t>–</w:t>
      </w:r>
      <w:r w:rsidR="00B54456">
        <w:rPr>
          <w:rFonts w:hint="cs"/>
          <w:sz w:val="28"/>
          <w:szCs w:val="28"/>
          <w:rtl/>
        </w:rPr>
        <w:t xml:space="preserve"> כנגד הדרישה לעונש שאינו כולל הורדה </w:t>
      </w:r>
      <w:r w:rsidR="001A32BF">
        <w:rPr>
          <w:rFonts w:hint="cs"/>
          <w:sz w:val="28"/>
          <w:szCs w:val="28"/>
          <w:rtl/>
        </w:rPr>
        <w:t>ב</w:t>
      </w:r>
      <w:r w:rsidR="00B54456">
        <w:rPr>
          <w:rFonts w:hint="cs"/>
          <w:sz w:val="28"/>
          <w:szCs w:val="28"/>
          <w:rtl/>
        </w:rPr>
        <w:t>דרגה.</w:t>
      </w:r>
    </w:p>
    <w:p w:rsidR="001A32BF" w:rsidRPr="00BE0680" w:rsidRDefault="001A32BF" w:rsidP="001A32BF">
      <w:pPr>
        <w:pStyle w:val="a3"/>
        <w:rPr>
          <w:rFonts w:hint="cs"/>
          <w:sz w:val="28"/>
          <w:szCs w:val="28"/>
          <w:rtl/>
        </w:rPr>
      </w:pPr>
    </w:p>
    <w:p w:rsidR="001A32BF" w:rsidRDefault="001A32BF" w:rsidP="001A32BF">
      <w:pPr>
        <w:pStyle w:val="a3"/>
        <w:numPr>
          <w:ilvl w:val="0"/>
          <w:numId w:val="1"/>
        </w:numPr>
        <w:ind w:left="624" w:right="-17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על בית הדין </w:t>
      </w:r>
      <w:proofErr w:type="spellStart"/>
      <w:r>
        <w:rPr>
          <w:rFonts w:hint="cs"/>
          <w:sz w:val="28"/>
          <w:szCs w:val="28"/>
          <w:rtl/>
        </w:rPr>
        <w:t>דלמטא</w:t>
      </w:r>
      <w:proofErr w:type="spellEnd"/>
      <w:r>
        <w:rPr>
          <w:rFonts w:hint="cs"/>
          <w:sz w:val="28"/>
          <w:szCs w:val="28"/>
          <w:rtl/>
        </w:rPr>
        <w:t xml:space="preserve"> היה לכבד את הסדר הטיעון שמהווה, למעשה, את המשכו של הסדר הטיעון שנעשה עם מח"ש.</w:t>
      </w:r>
    </w:p>
    <w:p w:rsidR="001A32BF" w:rsidRPr="001A32BF" w:rsidRDefault="001A32BF" w:rsidP="001A32BF">
      <w:pPr>
        <w:pStyle w:val="a3"/>
        <w:rPr>
          <w:rFonts w:hint="cs"/>
          <w:sz w:val="28"/>
          <w:szCs w:val="28"/>
          <w:rtl/>
        </w:rPr>
      </w:pPr>
    </w:p>
    <w:p w:rsidR="001A32BF" w:rsidRDefault="001A32BF" w:rsidP="001A32BF">
      <w:pPr>
        <w:pStyle w:val="a3"/>
        <w:numPr>
          <w:ilvl w:val="0"/>
          <w:numId w:val="1"/>
        </w:numPr>
        <w:ind w:left="624" w:right="-17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במקום לכבד את הסדר הטיעון, העלה בית דין קמא שלל טיעונים לחומרה שאין בינם לבין מה שקרה בפועל בפרשה הזאת מאומה.</w:t>
      </w:r>
    </w:p>
    <w:p w:rsidR="001A32BF" w:rsidRPr="001A32BF" w:rsidRDefault="001A32BF" w:rsidP="001A32BF">
      <w:pPr>
        <w:pStyle w:val="a3"/>
        <w:rPr>
          <w:rFonts w:hint="cs"/>
          <w:sz w:val="28"/>
          <w:szCs w:val="28"/>
          <w:rtl/>
        </w:rPr>
      </w:pPr>
    </w:p>
    <w:p w:rsidR="001A32BF" w:rsidRDefault="001A32BF" w:rsidP="001A32BF">
      <w:pPr>
        <w:pStyle w:val="a3"/>
        <w:numPr>
          <w:ilvl w:val="0"/>
          <w:numId w:val="1"/>
        </w:numPr>
        <w:ind w:left="624" w:right="-17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המערער ששימש בעת שהפרשה יצאה לאור מפקד פלוגה במג"ב באזור שכם תרם במשך עשרות שנים את המיטב שבו; הוא פעל כפי שהוא פעל מתוך דאגה לאחיו שמשמש בתפקיד רגיש ביותר במשרד הפנים. המערער חשש שמישהו מנסה לסבך את אחיו</w:t>
      </w:r>
      <w:r w:rsidR="00BE0680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שעסק באותה העת בטי</w:t>
      </w:r>
      <w:r w:rsidR="00BE0680">
        <w:rPr>
          <w:rFonts w:hint="cs"/>
          <w:sz w:val="28"/>
          <w:szCs w:val="28"/>
          <w:rtl/>
        </w:rPr>
        <w:t>פול בעברייני בנייה במגזר הבדואי, בעבירה פלילית.</w:t>
      </w:r>
    </w:p>
    <w:p w:rsidR="001A32BF" w:rsidRPr="00BE0680" w:rsidRDefault="001A32BF" w:rsidP="001A32BF">
      <w:pPr>
        <w:pStyle w:val="a3"/>
        <w:rPr>
          <w:rFonts w:hint="cs"/>
          <w:sz w:val="28"/>
          <w:szCs w:val="28"/>
          <w:rtl/>
        </w:rPr>
      </w:pPr>
    </w:p>
    <w:p w:rsidR="001A32BF" w:rsidRDefault="001A32BF" w:rsidP="00516E33">
      <w:pPr>
        <w:pStyle w:val="a3"/>
        <w:numPr>
          <w:ilvl w:val="0"/>
          <w:numId w:val="1"/>
        </w:numPr>
        <w:ind w:left="624" w:right="-17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במשך כשנתיים היה המערער מושעה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ובסופו של דבר הוא פנה לוועדה רפואית כדי שייקבעו לו אחוזי נכות; הוא לעולם לא היה עושה </w:t>
      </w:r>
      <w:r w:rsidR="00D5414D">
        <w:rPr>
          <w:rFonts w:hint="cs"/>
          <w:sz w:val="28"/>
          <w:szCs w:val="28"/>
          <w:rtl/>
        </w:rPr>
        <w:t xml:space="preserve">את </w:t>
      </w:r>
      <w:r>
        <w:rPr>
          <w:rFonts w:hint="cs"/>
          <w:sz w:val="28"/>
          <w:szCs w:val="28"/>
          <w:rtl/>
        </w:rPr>
        <w:t xml:space="preserve">זה </w:t>
      </w:r>
      <w:proofErr w:type="spellStart"/>
      <w:r>
        <w:rPr>
          <w:rFonts w:hint="cs"/>
          <w:sz w:val="28"/>
          <w:szCs w:val="28"/>
          <w:rtl/>
        </w:rPr>
        <w:t>אילמלא</w:t>
      </w:r>
      <w:proofErr w:type="spellEnd"/>
      <w:r>
        <w:rPr>
          <w:rFonts w:hint="cs"/>
          <w:sz w:val="28"/>
          <w:szCs w:val="28"/>
          <w:rtl/>
        </w:rPr>
        <w:t xml:space="preserve"> המצוקה הנפשית </w:t>
      </w:r>
      <w:r w:rsidR="00516E33">
        <w:rPr>
          <w:rFonts w:hint="cs"/>
          <w:sz w:val="28"/>
          <w:szCs w:val="28"/>
          <w:rtl/>
        </w:rPr>
        <w:t xml:space="preserve">הקשה </w:t>
      </w:r>
      <w:r>
        <w:rPr>
          <w:rFonts w:hint="cs"/>
          <w:sz w:val="28"/>
          <w:szCs w:val="28"/>
          <w:rtl/>
        </w:rPr>
        <w:t xml:space="preserve">שהוא נקלע אליה. </w:t>
      </w:r>
      <w:r w:rsidR="00516E33">
        <w:rPr>
          <w:rFonts w:hint="cs"/>
          <w:sz w:val="28"/>
          <w:szCs w:val="28"/>
          <w:rtl/>
        </w:rPr>
        <w:t xml:space="preserve">לפני זה, </w:t>
      </w:r>
      <w:r>
        <w:rPr>
          <w:rFonts w:hint="cs"/>
          <w:sz w:val="28"/>
          <w:szCs w:val="28"/>
          <w:rtl/>
        </w:rPr>
        <w:t>הוא לא חשב לרגע להתלונן על נכותו</w:t>
      </w:r>
      <w:r w:rsidR="00516E33">
        <w:rPr>
          <w:rFonts w:hint="cs"/>
          <w:sz w:val="28"/>
          <w:szCs w:val="28"/>
          <w:rtl/>
        </w:rPr>
        <w:t>.</w:t>
      </w:r>
      <w:r w:rsidR="00D5414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השעייתו</w:t>
      </w:r>
      <w:r w:rsidR="00516E33">
        <w:rPr>
          <w:rFonts w:hint="cs"/>
          <w:sz w:val="28"/>
          <w:szCs w:val="28"/>
          <w:rtl/>
        </w:rPr>
        <w:t xml:space="preserve"> החמירה, ככל שידוע כיום, את מצבו, ועתה הוא פרש </w:t>
      </w:r>
      <w:proofErr w:type="spellStart"/>
      <w:r w:rsidR="00516E33">
        <w:rPr>
          <w:rFonts w:hint="cs"/>
          <w:sz w:val="28"/>
          <w:szCs w:val="28"/>
          <w:rtl/>
        </w:rPr>
        <w:t>לגימלאות</w:t>
      </w:r>
      <w:proofErr w:type="spellEnd"/>
      <w:r w:rsidR="00516E33">
        <w:rPr>
          <w:rFonts w:hint="cs"/>
          <w:sz w:val="28"/>
          <w:szCs w:val="28"/>
          <w:rtl/>
        </w:rPr>
        <w:t xml:space="preserve"> במעמד של נכה.</w:t>
      </w:r>
    </w:p>
    <w:p w:rsidR="00516E33" w:rsidRPr="00516E33" w:rsidRDefault="00516E33" w:rsidP="00516E33">
      <w:pPr>
        <w:pStyle w:val="a3"/>
        <w:rPr>
          <w:rFonts w:hint="cs"/>
          <w:sz w:val="28"/>
          <w:szCs w:val="28"/>
          <w:rtl/>
        </w:rPr>
      </w:pPr>
    </w:p>
    <w:p w:rsidR="00516E33" w:rsidRDefault="00516E33" w:rsidP="00516E33">
      <w:pPr>
        <w:pStyle w:val="a3"/>
        <w:numPr>
          <w:ilvl w:val="0"/>
          <w:numId w:val="1"/>
        </w:numPr>
        <w:ind w:left="624" w:right="-17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ההתייחסות אל המערער כאל מי שמבקש לסייע לעבריינים הינה פשוט מקוממת.</w:t>
      </w:r>
      <w:r w:rsidR="00D5414D">
        <w:rPr>
          <w:rFonts w:hint="cs"/>
          <w:sz w:val="28"/>
          <w:szCs w:val="28"/>
          <w:rtl/>
        </w:rPr>
        <w:t xml:space="preserve"> אסור היה לבית הדין </w:t>
      </w:r>
      <w:proofErr w:type="spellStart"/>
      <w:r w:rsidR="00D5414D">
        <w:rPr>
          <w:rFonts w:hint="cs"/>
          <w:sz w:val="28"/>
          <w:szCs w:val="28"/>
          <w:rtl/>
        </w:rPr>
        <w:t>דלמטא</w:t>
      </w:r>
      <w:proofErr w:type="spellEnd"/>
      <w:r w:rsidR="00D5414D">
        <w:rPr>
          <w:rFonts w:hint="cs"/>
          <w:sz w:val="28"/>
          <w:szCs w:val="28"/>
          <w:rtl/>
        </w:rPr>
        <w:t xml:space="preserve"> לנהוג במערער כפי שהוא נהג.</w:t>
      </w:r>
    </w:p>
    <w:p w:rsidR="00516E33" w:rsidRPr="00D5414D" w:rsidRDefault="00516E33" w:rsidP="00516E33">
      <w:pPr>
        <w:pStyle w:val="a3"/>
        <w:rPr>
          <w:rFonts w:hint="cs"/>
          <w:sz w:val="28"/>
          <w:szCs w:val="28"/>
          <w:rtl/>
        </w:rPr>
      </w:pPr>
    </w:p>
    <w:p w:rsidR="00516E33" w:rsidRDefault="00516E33" w:rsidP="00D5414D">
      <w:pPr>
        <w:pStyle w:val="a3"/>
        <w:numPr>
          <w:ilvl w:val="0"/>
          <w:numId w:val="1"/>
        </w:numPr>
        <w:ind w:left="624" w:right="-17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יש לעשות להעמדת עונשו של המערער על העונש שהוסכם עליו עם </w:t>
      </w:r>
      <w:r w:rsidR="00D5414D">
        <w:rPr>
          <w:rFonts w:hint="cs"/>
          <w:sz w:val="28"/>
          <w:szCs w:val="28"/>
          <w:rtl/>
        </w:rPr>
        <w:t>נציגי המשיבה</w:t>
      </w:r>
      <w:r>
        <w:rPr>
          <w:rFonts w:hint="cs"/>
          <w:sz w:val="28"/>
          <w:szCs w:val="28"/>
          <w:rtl/>
        </w:rPr>
        <w:t xml:space="preserve">; כאמור, רק </w:t>
      </w:r>
      <w:r w:rsidR="00D5414D">
        <w:rPr>
          <w:rFonts w:hint="cs"/>
          <w:sz w:val="28"/>
          <w:szCs w:val="28"/>
          <w:rtl/>
        </w:rPr>
        <w:t xml:space="preserve">לאור העמדה </w:t>
      </w:r>
      <w:proofErr w:type="spellStart"/>
      <w:r w:rsidR="00D5414D">
        <w:rPr>
          <w:rFonts w:hint="cs"/>
          <w:sz w:val="28"/>
          <w:szCs w:val="28"/>
          <w:rtl/>
        </w:rPr>
        <w:t>העונשית</w:t>
      </w:r>
      <w:proofErr w:type="spellEnd"/>
      <w:r w:rsidR="00D5414D">
        <w:rPr>
          <w:rFonts w:hint="cs"/>
          <w:sz w:val="28"/>
          <w:szCs w:val="28"/>
          <w:rtl/>
        </w:rPr>
        <w:t xml:space="preserve"> הזאת</w:t>
      </w:r>
      <w:r>
        <w:rPr>
          <w:rFonts w:hint="cs"/>
          <w:sz w:val="28"/>
          <w:szCs w:val="28"/>
          <w:rtl/>
        </w:rPr>
        <w:t xml:space="preserve"> ראה המערער לנכון לסיים את מה שעובר עליו במשך כמה שנים.</w:t>
      </w:r>
    </w:p>
    <w:p w:rsidR="00516E33" w:rsidRPr="00516E33" w:rsidRDefault="00516E33" w:rsidP="00516E33">
      <w:pPr>
        <w:pStyle w:val="a3"/>
        <w:rPr>
          <w:rFonts w:hint="cs"/>
          <w:sz w:val="28"/>
          <w:szCs w:val="28"/>
          <w:rtl/>
        </w:rPr>
      </w:pPr>
    </w:p>
    <w:p w:rsidR="00516E33" w:rsidRDefault="00516E33" w:rsidP="00516E33">
      <w:pPr>
        <w:pStyle w:val="a3"/>
        <w:numPr>
          <w:ilvl w:val="0"/>
          <w:numId w:val="1"/>
        </w:numPr>
        <w:ind w:left="624" w:right="-17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דין ייעשה אם ערעור זה יתקבל; לא הייתה כל עילה שהדין מכיר בה שתצדיק סטייה מהסדר הטיעון. זאת ההלכה המשפטית  - ואין בילתה.</w:t>
      </w:r>
    </w:p>
    <w:p w:rsidR="00516E33" w:rsidRPr="00516E33" w:rsidRDefault="00516E33" w:rsidP="00516E33">
      <w:pPr>
        <w:pStyle w:val="a3"/>
        <w:rPr>
          <w:rFonts w:hint="cs"/>
          <w:sz w:val="28"/>
          <w:szCs w:val="28"/>
          <w:rtl/>
        </w:rPr>
      </w:pPr>
    </w:p>
    <w:p w:rsidR="00516E33" w:rsidRDefault="00516E33" w:rsidP="00516E33">
      <w:pPr>
        <w:pStyle w:val="a3"/>
        <w:ind w:left="624" w:right="-170"/>
        <w:rPr>
          <w:rFonts w:hint="cs"/>
          <w:sz w:val="28"/>
          <w:szCs w:val="28"/>
          <w:rtl/>
        </w:rPr>
      </w:pPr>
    </w:p>
    <w:p w:rsidR="00516E33" w:rsidRDefault="00516E33" w:rsidP="00516E33">
      <w:pPr>
        <w:pStyle w:val="a3"/>
        <w:ind w:left="624" w:right="-170"/>
        <w:rPr>
          <w:rFonts w:hint="cs"/>
          <w:sz w:val="28"/>
          <w:szCs w:val="28"/>
          <w:rtl/>
        </w:rPr>
      </w:pPr>
    </w:p>
    <w:p w:rsidR="00516E33" w:rsidRDefault="00516E33" w:rsidP="00516E33">
      <w:pPr>
        <w:pStyle w:val="a3"/>
        <w:ind w:left="624" w:right="-170"/>
        <w:rPr>
          <w:rFonts w:hint="cs"/>
          <w:sz w:val="28"/>
          <w:szCs w:val="28"/>
          <w:rtl/>
        </w:rPr>
      </w:pPr>
    </w:p>
    <w:p w:rsidR="00516E33" w:rsidRDefault="00516E33" w:rsidP="00516E33">
      <w:pPr>
        <w:pStyle w:val="a3"/>
        <w:ind w:left="624" w:right="-170"/>
        <w:rPr>
          <w:rFonts w:hint="cs"/>
          <w:sz w:val="28"/>
          <w:szCs w:val="28"/>
          <w:rtl/>
        </w:rPr>
      </w:pPr>
    </w:p>
    <w:p w:rsidR="00516E33" w:rsidRDefault="00516E33" w:rsidP="00516E33">
      <w:pPr>
        <w:pStyle w:val="a3"/>
        <w:ind w:left="624" w:right="-17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</w:t>
      </w:r>
    </w:p>
    <w:p w:rsidR="00516E33" w:rsidRDefault="00516E33" w:rsidP="00516E33">
      <w:pPr>
        <w:pStyle w:val="a3"/>
        <w:ind w:left="624" w:right="-17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------------------                           -------------------</w:t>
      </w:r>
    </w:p>
    <w:p w:rsidR="00516E33" w:rsidRPr="001F391A" w:rsidRDefault="00516E33" w:rsidP="00516E33">
      <w:pPr>
        <w:pStyle w:val="a3"/>
        <w:ind w:left="624" w:right="-17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ד"ר חיים משגב, עו"ד                  </w:t>
      </w:r>
      <w:proofErr w:type="spellStart"/>
      <w:r>
        <w:rPr>
          <w:rFonts w:hint="cs"/>
          <w:sz w:val="28"/>
          <w:szCs w:val="28"/>
          <w:rtl/>
        </w:rPr>
        <w:t>עו"ד</w:t>
      </w:r>
      <w:proofErr w:type="spellEnd"/>
      <w:r>
        <w:rPr>
          <w:rFonts w:hint="cs"/>
          <w:sz w:val="28"/>
          <w:szCs w:val="28"/>
          <w:rtl/>
        </w:rPr>
        <w:t xml:space="preserve"> סיימון </w:t>
      </w:r>
      <w:proofErr w:type="spellStart"/>
      <w:r>
        <w:rPr>
          <w:rFonts w:hint="cs"/>
          <w:sz w:val="28"/>
          <w:szCs w:val="28"/>
          <w:rtl/>
        </w:rPr>
        <w:t>ברטין</w:t>
      </w:r>
      <w:proofErr w:type="spellEnd"/>
    </w:p>
    <w:sectPr w:rsidR="00516E33" w:rsidRPr="001F391A" w:rsidSect="00873F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70A87"/>
    <w:multiLevelType w:val="hybridMultilevel"/>
    <w:tmpl w:val="6C50A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F391A"/>
    <w:rsid w:val="001A32BF"/>
    <w:rsid w:val="001F391A"/>
    <w:rsid w:val="00516E33"/>
    <w:rsid w:val="005570C4"/>
    <w:rsid w:val="00873F59"/>
    <w:rsid w:val="00B54456"/>
    <w:rsid w:val="00B713F7"/>
    <w:rsid w:val="00BE0680"/>
    <w:rsid w:val="00D5414D"/>
    <w:rsid w:val="00DA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629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2016-10-29T06:09:00Z</dcterms:created>
  <dcterms:modified xsi:type="dcterms:W3CDTF">2016-10-29T07:14:00Z</dcterms:modified>
</cp:coreProperties>
</file>